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C42" w:rsidRPr="00323A16" w:rsidRDefault="00323A16">
      <w:pPr>
        <w:rPr>
          <w:b/>
        </w:rPr>
      </w:pPr>
      <w:bookmarkStart w:id="0" w:name="_GoBack"/>
      <w:bookmarkEnd w:id="0"/>
      <w:r w:rsidRPr="00323A16">
        <w:rPr>
          <w:b/>
        </w:rPr>
        <w:t>PUPIL DEVELOPMENT GRANT STRATEGY STATEMENT</w:t>
      </w:r>
    </w:p>
    <w:p w:rsidR="00323A16" w:rsidRPr="00323A16" w:rsidRDefault="00323A16">
      <w:pPr>
        <w:rPr>
          <w:i/>
        </w:rPr>
      </w:pPr>
      <w:r w:rsidRPr="00323A16">
        <w:rPr>
          <w:i/>
        </w:rPr>
        <w:t>This statement details our school’s use of the PDG for the 202</w:t>
      </w:r>
      <w:r w:rsidR="00D944ED">
        <w:rPr>
          <w:i/>
        </w:rPr>
        <w:t>5/6</w:t>
      </w:r>
      <w:r w:rsidRPr="00323A16">
        <w:rPr>
          <w:i/>
        </w:rPr>
        <w:t xml:space="preserve"> academic year.</w:t>
      </w:r>
    </w:p>
    <w:p w:rsidR="00323A16" w:rsidRPr="00323A16" w:rsidRDefault="00323A16">
      <w:pPr>
        <w:rPr>
          <w:i/>
        </w:rPr>
      </w:pPr>
      <w:r w:rsidRPr="00323A16">
        <w:rPr>
          <w:i/>
        </w:rPr>
        <w:t>It outlines our strategy, how we intend to spend the funding in this academic year and the effect that last year’s spending had within our school.</w:t>
      </w:r>
    </w:p>
    <w:p w:rsidR="00323A16" w:rsidRPr="0015104C" w:rsidRDefault="00323A16">
      <w:pPr>
        <w:rPr>
          <w:b/>
        </w:rPr>
      </w:pPr>
      <w:r w:rsidRPr="0015104C">
        <w:rPr>
          <w:b/>
        </w:rPr>
        <w:t>School Overview</w:t>
      </w:r>
    </w:p>
    <w:tbl>
      <w:tblPr>
        <w:tblStyle w:val="TableGrid"/>
        <w:tblW w:w="0" w:type="auto"/>
        <w:tblLook w:val="04A0" w:firstRow="1" w:lastRow="0" w:firstColumn="1" w:lastColumn="0" w:noHBand="0" w:noVBand="1"/>
      </w:tblPr>
      <w:tblGrid>
        <w:gridCol w:w="4508"/>
        <w:gridCol w:w="4508"/>
      </w:tblGrid>
      <w:tr w:rsidR="00323A16" w:rsidRPr="00625642" w:rsidTr="0015104C">
        <w:tc>
          <w:tcPr>
            <w:tcW w:w="4508" w:type="dxa"/>
            <w:shd w:val="clear" w:color="auto" w:fill="D0CECE" w:themeFill="background2" w:themeFillShade="E6"/>
          </w:tcPr>
          <w:p w:rsidR="00323A16" w:rsidRPr="00625642" w:rsidRDefault="00323A16">
            <w:pPr>
              <w:rPr>
                <w:b/>
              </w:rPr>
            </w:pPr>
            <w:r w:rsidRPr="00625642">
              <w:rPr>
                <w:b/>
              </w:rPr>
              <w:t>Detail</w:t>
            </w:r>
          </w:p>
        </w:tc>
        <w:tc>
          <w:tcPr>
            <w:tcW w:w="4508" w:type="dxa"/>
            <w:shd w:val="clear" w:color="auto" w:fill="D0CECE" w:themeFill="background2" w:themeFillShade="E6"/>
          </w:tcPr>
          <w:p w:rsidR="00323A16" w:rsidRPr="00625642" w:rsidRDefault="00323A16">
            <w:pPr>
              <w:rPr>
                <w:b/>
              </w:rPr>
            </w:pPr>
            <w:r w:rsidRPr="00625642">
              <w:rPr>
                <w:b/>
              </w:rPr>
              <w:t>Data</w:t>
            </w:r>
          </w:p>
        </w:tc>
      </w:tr>
      <w:tr w:rsidR="00323A16" w:rsidTr="00323A16">
        <w:tc>
          <w:tcPr>
            <w:tcW w:w="4508" w:type="dxa"/>
          </w:tcPr>
          <w:p w:rsidR="00323A16" w:rsidRDefault="00323A16">
            <w:r>
              <w:t>School name</w:t>
            </w:r>
          </w:p>
        </w:tc>
        <w:tc>
          <w:tcPr>
            <w:tcW w:w="4508" w:type="dxa"/>
          </w:tcPr>
          <w:p w:rsidR="00323A16" w:rsidRDefault="00323A16">
            <w:r>
              <w:t>Porth Community School</w:t>
            </w:r>
          </w:p>
        </w:tc>
      </w:tr>
      <w:tr w:rsidR="00323A16" w:rsidTr="00323A16">
        <w:tc>
          <w:tcPr>
            <w:tcW w:w="4508" w:type="dxa"/>
          </w:tcPr>
          <w:p w:rsidR="00323A16" w:rsidRDefault="00323A16">
            <w:r>
              <w:t>Number of pupils in school</w:t>
            </w:r>
          </w:p>
        </w:tc>
        <w:tc>
          <w:tcPr>
            <w:tcW w:w="4508" w:type="dxa"/>
          </w:tcPr>
          <w:p w:rsidR="00323A16" w:rsidRDefault="00077E00">
            <w:r>
              <w:t>927</w:t>
            </w:r>
          </w:p>
        </w:tc>
      </w:tr>
      <w:tr w:rsidR="00323A16" w:rsidTr="00323A16">
        <w:tc>
          <w:tcPr>
            <w:tcW w:w="4508" w:type="dxa"/>
          </w:tcPr>
          <w:p w:rsidR="00323A16" w:rsidRDefault="00323A16">
            <w:r>
              <w:t>Proportion (%) of PDG eligible pupils</w:t>
            </w:r>
          </w:p>
        </w:tc>
        <w:tc>
          <w:tcPr>
            <w:tcW w:w="4508" w:type="dxa"/>
          </w:tcPr>
          <w:p w:rsidR="00323A16" w:rsidRDefault="00077E00">
            <w:r>
              <w:t>29.88%</w:t>
            </w:r>
          </w:p>
        </w:tc>
      </w:tr>
      <w:tr w:rsidR="00323A16" w:rsidTr="00323A16">
        <w:tc>
          <w:tcPr>
            <w:tcW w:w="4508" w:type="dxa"/>
          </w:tcPr>
          <w:p w:rsidR="00323A16" w:rsidRDefault="00323A16">
            <w:r>
              <w:t>Date this statement was published</w:t>
            </w:r>
          </w:p>
        </w:tc>
        <w:tc>
          <w:tcPr>
            <w:tcW w:w="4508" w:type="dxa"/>
          </w:tcPr>
          <w:p w:rsidR="00323A16" w:rsidRDefault="00323A16">
            <w:r>
              <w:t>September 202</w:t>
            </w:r>
            <w:r w:rsidR="009360BB">
              <w:t>5</w:t>
            </w:r>
          </w:p>
        </w:tc>
      </w:tr>
      <w:tr w:rsidR="00323A16" w:rsidTr="00323A16">
        <w:tc>
          <w:tcPr>
            <w:tcW w:w="4508" w:type="dxa"/>
          </w:tcPr>
          <w:p w:rsidR="00323A16" w:rsidRDefault="00323A16">
            <w:r>
              <w:t>Date on which it will be reviewed</w:t>
            </w:r>
          </w:p>
        </w:tc>
        <w:tc>
          <w:tcPr>
            <w:tcW w:w="4508" w:type="dxa"/>
          </w:tcPr>
          <w:p w:rsidR="00323A16" w:rsidRDefault="00323A16">
            <w:r>
              <w:t>September 20</w:t>
            </w:r>
            <w:r w:rsidR="00D944ED">
              <w:t>26</w:t>
            </w:r>
          </w:p>
        </w:tc>
      </w:tr>
      <w:tr w:rsidR="00323A16" w:rsidTr="00323A16">
        <w:tc>
          <w:tcPr>
            <w:tcW w:w="4508" w:type="dxa"/>
          </w:tcPr>
          <w:p w:rsidR="00323A16" w:rsidRDefault="00323A16">
            <w:r>
              <w:t>Statement authorised by</w:t>
            </w:r>
          </w:p>
        </w:tc>
        <w:tc>
          <w:tcPr>
            <w:tcW w:w="4508" w:type="dxa"/>
          </w:tcPr>
          <w:p w:rsidR="00323A16" w:rsidRDefault="00004391">
            <w:r>
              <w:t xml:space="preserve">Laura </w:t>
            </w:r>
            <w:proofErr w:type="spellStart"/>
            <w:r>
              <w:t>Dober</w:t>
            </w:r>
            <w:proofErr w:type="spellEnd"/>
          </w:p>
        </w:tc>
      </w:tr>
      <w:tr w:rsidR="00323A16" w:rsidTr="00323A16">
        <w:tc>
          <w:tcPr>
            <w:tcW w:w="4508" w:type="dxa"/>
          </w:tcPr>
          <w:p w:rsidR="00323A16" w:rsidRDefault="00323A16">
            <w:r>
              <w:t>PDG Lead</w:t>
            </w:r>
          </w:p>
        </w:tc>
        <w:tc>
          <w:tcPr>
            <w:tcW w:w="4508" w:type="dxa"/>
          </w:tcPr>
          <w:p w:rsidR="00323A16" w:rsidRDefault="00323A16">
            <w:r>
              <w:t>Deputy Headteacher</w:t>
            </w:r>
          </w:p>
          <w:p w:rsidR="00323A16" w:rsidRDefault="00323A16">
            <w:r>
              <w:t>Assistant Headteacher Inclusion and Wellbeing</w:t>
            </w:r>
          </w:p>
        </w:tc>
      </w:tr>
      <w:tr w:rsidR="00323A16" w:rsidTr="00323A16">
        <w:tc>
          <w:tcPr>
            <w:tcW w:w="4508" w:type="dxa"/>
          </w:tcPr>
          <w:p w:rsidR="00323A16" w:rsidRDefault="00323A16">
            <w:r>
              <w:t>Governor Lead</w:t>
            </w:r>
          </w:p>
        </w:tc>
        <w:tc>
          <w:tcPr>
            <w:tcW w:w="4508" w:type="dxa"/>
          </w:tcPr>
          <w:p w:rsidR="00323A16" w:rsidRDefault="00323A16">
            <w:r>
              <w:t>Chair of Governors</w:t>
            </w:r>
          </w:p>
        </w:tc>
      </w:tr>
    </w:tbl>
    <w:p w:rsidR="0015104C" w:rsidRDefault="0015104C">
      <w:pPr>
        <w:rPr>
          <w:b/>
        </w:rPr>
      </w:pPr>
      <w:r w:rsidRPr="0015104C">
        <w:rPr>
          <w:b/>
        </w:rPr>
        <w:t>Funding Overview</w:t>
      </w:r>
    </w:p>
    <w:tbl>
      <w:tblPr>
        <w:tblStyle w:val="TableGrid"/>
        <w:tblW w:w="0" w:type="auto"/>
        <w:tblLook w:val="04A0" w:firstRow="1" w:lastRow="0" w:firstColumn="1" w:lastColumn="0" w:noHBand="0" w:noVBand="1"/>
      </w:tblPr>
      <w:tblGrid>
        <w:gridCol w:w="6658"/>
        <w:gridCol w:w="2358"/>
      </w:tblGrid>
      <w:tr w:rsidR="00F618C6" w:rsidTr="00625642">
        <w:tc>
          <w:tcPr>
            <w:tcW w:w="6658" w:type="dxa"/>
            <w:shd w:val="clear" w:color="auto" w:fill="D0CECE" w:themeFill="background2" w:themeFillShade="E6"/>
          </w:tcPr>
          <w:p w:rsidR="00F618C6" w:rsidRDefault="00625642">
            <w:pPr>
              <w:rPr>
                <w:b/>
              </w:rPr>
            </w:pPr>
            <w:r>
              <w:rPr>
                <w:b/>
              </w:rPr>
              <w:t>Detail</w:t>
            </w:r>
          </w:p>
        </w:tc>
        <w:tc>
          <w:tcPr>
            <w:tcW w:w="2358" w:type="dxa"/>
            <w:shd w:val="clear" w:color="auto" w:fill="D0CECE" w:themeFill="background2" w:themeFillShade="E6"/>
          </w:tcPr>
          <w:p w:rsidR="00F618C6" w:rsidRDefault="00625642" w:rsidP="00625642">
            <w:pPr>
              <w:jc w:val="right"/>
              <w:rPr>
                <w:b/>
              </w:rPr>
            </w:pPr>
            <w:r>
              <w:rPr>
                <w:b/>
              </w:rPr>
              <w:t>Amount</w:t>
            </w:r>
          </w:p>
        </w:tc>
      </w:tr>
      <w:tr w:rsidR="00625642" w:rsidRPr="00625642" w:rsidTr="00625642">
        <w:tc>
          <w:tcPr>
            <w:tcW w:w="6658" w:type="dxa"/>
          </w:tcPr>
          <w:p w:rsidR="00625642" w:rsidRPr="00625642" w:rsidRDefault="00625642" w:rsidP="00625642">
            <w:r w:rsidRPr="00625642">
              <w:t xml:space="preserve">PDG Funding allocation this academic year </w:t>
            </w:r>
          </w:p>
        </w:tc>
        <w:tc>
          <w:tcPr>
            <w:tcW w:w="2358" w:type="dxa"/>
          </w:tcPr>
          <w:p w:rsidR="00625642" w:rsidRPr="00625642" w:rsidRDefault="00F2380D" w:rsidP="00625642">
            <w:pPr>
              <w:jc w:val="right"/>
            </w:pPr>
            <w:r>
              <w:t>£2</w:t>
            </w:r>
            <w:r w:rsidR="00D92A16">
              <w:t>79,450</w:t>
            </w:r>
          </w:p>
        </w:tc>
      </w:tr>
    </w:tbl>
    <w:p w:rsidR="00DA5148" w:rsidRDefault="00DA5148" w:rsidP="00DA5148">
      <w:pPr>
        <w:spacing w:after="0"/>
        <w:rPr>
          <w:b/>
        </w:rPr>
      </w:pPr>
    </w:p>
    <w:p w:rsidR="00625642" w:rsidRDefault="00625642">
      <w:pPr>
        <w:rPr>
          <w:b/>
        </w:rPr>
      </w:pPr>
      <w:r>
        <w:rPr>
          <w:b/>
        </w:rPr>
        <w:t>Part A: Strategy Plan</w:t>
      </w:r>
    </w:p>
    <w:p w:rsidR="00625642" w:rsidRDefault="00625642">
      <w:pPr>
        <w:rPr>
          <w:b/>
        </w:rPr>
      </w:pPr>
      <w:r>
        <w:rPr>
          <w:b/>
        </w:rPr>
        <w:t>Statement of Intent</w:t>
      </w:r>
    </w:p>
    <w:tbl>
      <w:tblPr>
        <w:tblStyle w:val="TableGrid"/>
        <w:tblW w:w="0" w:type="auto"/>
        <w:tblLook w:val="04A0" w:firstRow="1" w:lastRow="0" w:firstColumn="1" w:lastColumn="0" w:noHBand="0" w:noVBand="1"/>
      </w:tblPr>
      <w:tblGrid>
        <w:gridCol w:w="9016"/>
      </w:tblGrid>
      <w:tr w:rsidR="00625642" w:rsidTr="00625642">
        <w:tc>
          <w:tcPr>
            <w:tcW w:w="9016" w:type="dxa"/>
          </w:tcPr>
          <w:p w:rsidR="00625642" w:rsidRDefault="00625642" w:rsidP="00550769">
            <w:pPr>
              <w:jc w:val="both"/>
            </w:pPr>
            <w:r>
              <w:t>The purpose of the Pupil Deprivation Grant (PDG) is to improve outcomes for learners eligible for free school meals (</w:t>
            </w:r>
            <w:proofErr w:type="spellStart"/>
            <w:r>
              <w:t>eFSM</w:t>
            </w:r>
            <w:proofErr w:type="spellEnd"/>
            <w:r>
              <w:t>) and looked after children (LAC). It is intended to overcome the additional barriers that prevent learners from disadvantaged backgrounds achieving their full potential.</w:t>
            </w:r>
          </w:p>
          <w:p w:rsidR="00625642" w:rsidRDefault="00625642" w:rsidP="00550769">
            <w:pPr>
              <w:jc w:val="both"/>
            </w:pPr>
          </w:p>
          <w:p w:rsidR="00625642" w:rsidRDefault="00625642" w:rsidP="00550769">
            <w:pPr>
              <w:jc w:val="both"/>
            </w:pPr>
            <w:r>
              <w:t>The expenditure is directed to partial costs for:</w:t>
            </w:r>
          </w:p>
          <w:p w:rsidR="003C7BD7" w:rsidRDefault="003C7BD7" w:rsidP="00550769">
            <w:pPr>
              <w:jc w:val="both"/>
            </w:pPr>
          </w:p>
          <w:p w:rsidR="00625642" w:rsidRDefault="002F4B57" w:rsidP="00550769">
            <w:pPr>
              <w:pStyle w:val="ListParagraph"/>
              <w:numPr>
                <w:ilvl w:val="0"/>
                <w:numId w:val="1"/>
              </w:numPr>
              <w:jc w:val="both"/>
            </w:pPr>
            <w:r>
              <w:t>Teaching Assistants (Literacy interventions)</w:t>
            </w:r>
          </w:p>
          <w:p w:rsidR="002F4B57" w:rsidRDefault="002F4B57" w:rsidP="00550769">
            <w:pPr>
              <w:pStyle w:val="ListParagraph"/>
              <w:numPr>
                <w:ilvl w:val="0"/>
                <w:numId w:val="1"/>
              </w:numPr>
              <w:jc w:val="both"/>
            </w:pPr>
            <w:r>
              <w:t>Teaching Assistants (Numeracy interventions)</w:t>
            </w:r>
          </w:p>
          <w:p w:rsidR="004B0F1E" w:rsidRDefault="004B0F1E" w:rsidP="00550769">
            <w:pPr>
              <w:jc w:val="both"/>
            </w:pPr>
          </w:p>
          <w:p w:rsidR="002F4B57" w:rsidRDefault="002F4B57" w:rsidP="00550769">
            <w:pPr>
              <w:jc w:val="both"/>
            </w:pPr>
            <w:r>
              <w:t>Porth Community School will support eligible pupils through a variety of regular interventions and support provided by staff. This will be closely tracked by senior staff to ensure appropriate interventions are in place and progress is made by pupils.</w:t>
            </w:r>
          </w:p>
          <w:p w:rsidR="002F4B57" w:rsidRDefault="002F4B57" w:rsidP="00550769">
            <w:pPr>
              <w:jc w:val="both"/>
            </w:pPr>
          </w:p>
          <w:p w:rsidR="002F4B57" w:rsidRDefault="002F4B57" w:rsidP="00550769">
            <w:pPr>
              <w:jc w:val="both"/>
            </w:pPr>
            <w:r>
              <w:t>Key areas to be addressed are literacy, numeracy and wellbeing. These are encompassed within the School Development Plan priorities and embrace the Curriculum for Wales: pupils are ambitious, c</w:t>
            </w:r>
            <w:r w:rsidR="004C6CF5">
              <w:t>apable learners. Pupils are healthy, confident individuals.</w:t>
            </w:r>
          </w:p>
          <w:p w:rsidR="004C6CF5" w:rsidRDefault="004C6CF5" w:rsidP="00550769">
            <w:pPr>
              <w:jc w:val="both"/>
            </w:pPr>
          </w:p>
          <w:p w:rsidR="004D684F" w:rsidRDefault="00F2380D" w:rsidP="00550769">
            <w:pPr>
              <w:jc w:val="both"/>
            </w:pPr>
            <w:r>
              <w:rPr>
                <w:b/>
              </w:rPr>
              <w:t>Priority IA1.1</w:t>
            </w:r>
            <w:r w:rsidR="00550769">
              <w:t xml:space="preserve"> –</w:t>
            </w:r>
            <w:r w:rsidR="0079626F">
              <w:t>Improve outcomes for all pupils, including standards of skills, particularly for pupils eligible for free school meals and the most able.</w:t>
            </w:r>
          </w:p>
          <w:p w:rsidR="004D684F" w:rsidRDefault="004D684F" w:rsidP="00550769">
            <w:pPr>
              <w:jc w:val="both"/>
            </w:pPr>
          </w:p>
          <w:p w:rsidR="0079626F" w:rsidRDefault="00550769" w:rsidP="004D684F">
            <w:pPr>
              <w:jc w:val="both"/>
            </w:pPr>
            <w:r w:rsidRPr="003C7BD7">
              <w:rPr>
                <w:b/>
              </w:rPr>
              <w:t xml:space="preserve">Priority </w:t>
            </w:r>
            <w:r w:rsidR="0079626F">
              <w:rPr>
                <w:b/>
              </w:rPr>
              <w:t>1A2.5</w:t>
            </w:r>
            <w:r>
              <w:t xml:space="preserve"> – </w:t>
            </w:r>
            <w:r w:rsidR="0079626F">
              <w:t>Further improve attendance.</w:t>
            </w:r>
          </w:p>
          <w:p w:rsidR="004D684F" w:rsidRDefault="004D684F" w:rsidP="004D684F">
            <w:pPr>
              <w:jc w:val="both"/>
            </w:pPr>
          </w:p>
          <w:p w:rsidR="004D684F" w:rsidRPr="004D684F" w:rsidRDefault="004D684F" w:rsidP="004D684F">
            <w:pPr>
              <w:jc w:val="both"/>
            </w:pPr>
            <w:r w:rsidRPr="004D684F">
              <w:rPr>
                <w:b/>
              </w:rPr>
              <w:t>Priority 1A2.6</w:t>
            </w:r>
            <w:r>
              <w:t xml:space="preserve"> – Strengthen approaches to promote positive behaviour.</w:t>
            </w:r>
          </w:p>
        </w:tc>
      </w:tr>
    </w:tbl>
    <w:p w:rsidR="004B0F1E" w:rsidRDefault="004B0F1E">
      <w:pPr>
        <w:rPr>
          <w:b/>
        </w:rPr>
      </w:pPr>
      <w:r>
        <w:rPr>
          <w:b/>
        </w:rPr>
        <w:br w:type="page"/>
      </w:r>
    </w:p>
    <w:p w:rsidR="00FF573F" w:rsidRDefault="00FF573F">
      <w:pPr>
        <w:rPr>
          <w:b/>
        </w:rPr>
      </w:pPr>
      <w:r>
        <w:rPr>
          <w:b/>
        </w:rPr>
        <w:lastRenderedPageBreak/>
        <w:t>Intended Outcomes</w:t>
      </w:r>
    </w:p>
    <w:p w:rsidR="00FF573F" w:rsidRDefault="00FF573F">
      <w:r w:rsidRPr="00FF573F">
        <w:t>This explains the outcomes we are aiming for by then end our current strategy plan,</w:t>
      </w:r>
      <w:r>
        <w:t xml:space="preserve"> and how we will measure whether they have been achieved.</w:t>
      </w:r>
    </w:p>
    <w:tbl>
      <w:tblPr>
        <w:tblStyle w:val="TableGrid"/>
        <w:tblW w:w="0" w:type="auto"/>
        <w:tblLook w:val="04A0" w:firstRow="1" w:lastRow="0" w:firstColumn="1" w:lastColumn="0" w:noHBand="0" w:noVBand="1"/>
      </w:tblPr>
      <w:tblGrid>
        <w:gridCol w:w="4508"/>
        <w:gridCol w:w="4508"/>
      </w:tblGrid>
      <w:tr w:rsidR="00FF573F" w:rsidRPr="00AD0869" w:rsidTr="00AD0869">
        <w:tc>
          <w:tcPr>
            <w:tcW w:w="4508" w:type="dxa"/>
            <w:shd w:val="clear" w:color="auto" w:fill="D0CECE" w:themeFill="background2" w:themeFillShade="E6"/>
          </w:tcPr>
          <w:p w:rsidR="00FF573F" w:rsidRPr="00AD0869" w:rsidRDefault="00FF573F">
            <w:pPr>
              <w:rPr>
                <w:b/>
              </w:rPr>
            </w:pPr>
            <w:r w:rsidRPr="00AD0869">
              <w:rPr>
                <w:b/>
              </w:rPr>
              <w:t>Intended outcome</w:t>
            </w:r>
          </w:p>
        </w:tc>
        <w:tc>
          <w:tcPr>
            <w:tcW w:w="4508" w:type="dxa"/>
            <w:shd w:val="clear" w:color="auto" w:fill="D0CECE" w:themeFill="background2" w:themeFillShade="E6"/>
          </w:tcPr>
          <w:p w:rsidR="00FF573F" w:rsidRPr="00AD0869" w:rsidRDefault="00FF573F">
            <w:pPr>
              <w:rPr>
                <w:b/>
              </w:rPr>
            </w:pPr>
            <w:r w:rsidRPr="00AD0869">
              <w:rPr>
                <w:b/>
              </w:rPr>
              <w:t>Success criteria</w:t>
            </w:r>
          </w:p>
        </w:tc>
      </w:tr>
      <w:tr w:rsidR="00FF573F" w:rsidTr="00FF573F">
        <w:tc>
          <w:tcPr>
            <w:tcW w:w="4508" w:type="dxa"/>
          </w:tcPr>
          <w:p w:rsidR="00FF573F" w:rsidRDefault="00FF573F">
            <w:r>
              <w:t>Pupils are ambitious, capable learners</w:t>
            </w:r>
          </w:p>
        </w:tc>
        <w:tc>
          <w:tcPr>
            <w:tcW w:w="4508" w:type="dxa"/>
          </w:tcPr>
          <w:p w:rsidR="00FF573F" w:rsidRDefault="00FF573F">
            <w:r>
              <w:t>PDG eligible pupils:</w:t>
            </w:r>
          </w:p>
          <w:p w:rsidR="00FF573F" w:rsidRDefault="00FF573F" w:rsidP="00FF573F">
            <w:pPr>
              <w:pStyle w:val="ListParagraph"/>
              <w:numPr>
                <w:ilvl w:val="0"/>
                <w:numId w:val="2"/>
              </w:numPr>
            </w:pPr>
            <w:r>
              <w:t>Close gaps with their peers.</w:t>
            </w:r>
          </w:p>
          <w:p w:rsidR="00FF573F" w:rsidRDefault="00FF573F" w:rsidP="00FF573F">
            <w:pPr>
              <w:pStyle w:val="ListParagraph"/>
              <w:numPr>
                <w:ilvl w:val="0"/>
                <w:numId w:val="2"/>
              </w:numPr>
            </w:pPr>
            <w:r>
              <w:t>Many make strong progress in developing their literacy and numeracy skills.</w:t>
            </w:r>
          </w:p>
          <w:p w:rsidR="00FF573F" w:rsidRDefault="00FF573F" w:rsidP="00FF573F">
            <w:pPr>
              <w:pStyle w:val="ListParagraph"/>
              <w:numPr>
                <w:ilvl w:val="0"/>
                <w:numId w:val="2"/>
              </w:numPr>
            </w:pPr>
            <w:r>
              <w:t>Pupils who receive interventions make strong progress in their literacy and numeracy skills.</w:t>
            </w:r>
          </w:p>
        </w:tc>
      </w:tr>
      <w:tr w:rsidR="00FF573F" w:rsidTr="00FF573F">
        <w:tc>
          <w:tcPr>
            <w:tcW w:w="4508" w:type="dxa"/>
          </w:tcPr>
          <w:p w:rsidR="00FF573F" w:rsidRDefault="00FF573F">
            <w:r>
              <w:t>Pupils are healthy and confident individuals</w:t>
            </w:r>
          </w:p>
        </w:tc>
        <w:tc>
          <w:tcPr>
            <w:tcW w:w="4508" w:type="dxa"/>
          </w:tcPr>
          <w:p w:rsidR="00FF573F" w:rsidRDefault="00FF573F">
            <w:r>
              <w:t>PDG eligible pupils:</w:t>
            </w:r>
          </w:p>
          <w:p w:rsidR="00FF573F" w:rsidRDefault="00FF573F" w:rsidP="00FF573F">
            <w:pPr>
              <w:pStyle w:val="ListParagraph"/>
              <w:numPr>
                <w:ilvl w:val="0"/>
                <w:numId w:val="3"/>
              </w:numPr>
            </w:pPr>
            <w:r>
              <w:t>Improved attendance.</w:t>
            </w:r>
          </w:p>
          <w:p w:rsidR="00FF573F" w:rsidRDefault="00FF573F" w:rsidP="00FF573F">
            <w:pPr>
              <w:pStyle w:val="ListParagraph"/>
              <w:numPr>
                <w:ilvl w:val="0"/>
                <w:numId w:val="3"/>
              </w:numPr>
            </w:pPr>
            <w:r>
              <w:t>Reduction in referrals to external agencies for mental health.</w:t>
            </w:r>
          </w:p>
          <w:p w:rsidR="00FF573F" w:rsidRDefault="00FF573F" w:rsidP="00FF573F">
            <w:pPr>
              <w:pStyle w:val="ListParagraph"/>
              <w:numPr>
                <w:ilvl w:val="0"/>
                <w:numId w:val="3"/>
              </w:numPr>
            </w:pPr>
            <w:r>
              <w:t>Pupils feel confident in coming to school and accessing learning.</w:t>
            </w:r>
          </w:p>
          <w:p w:rsidR="00FF573F" w:rsidRDefault="0024766C" w:rsidP="00FF573F">
            <w:pPr>
              <w:pStyle w:val="ListParagraph"/>
              <w:numPr>
                <w:ilvl w:val="0"/>
                <w:numId w:val="3"/>
              </w:numPr>
            </w:pPr>
            <w:r>
              <w:t>Access a range of activities not normally accessible to them.</w:t>
            </w:r>
          </w:p>
        </w:tc>
      </w:tr>
    </w:tbl>
    <w:p w:rsidR="00DA5148" w:rsidRDefault="00DA5148" w:rsidP="00DA5148">
      <w:pPr>
        <w:spacing w:after="0"/>
      </w:pPr>
    </w:p>
    <w:p w:rsidR="0024766C" w:rsidRDefault="0024766C">
      <w:r>
        <w:t>Activity in this academic year</w:t>
      </w:r>
    </w:p>
    <w:tbl>
      <w:tblPr>
        <w:tblStyle w:val="TableGrid"/>
        <w:tblW w:w="0" w:type="auto"/>
        <w:tblLook w:val="04A0" w:firstRow="1" w:lastRow="0" w:firstColumn="1" w:lastColumn="0" w:noHBand="0" w:noVBand="1"/>
      </w:tblPr>
      <w:tblGrid>
        <w:gridCol w:w="9016"/>
      </w:tblGrid>
      <w:tr w:rsidR="0024766C" w:rsidTr="0024766C">
        <w:tc>
          <w:tcPr>
            <w:tcW w:w="9016" w:type="dxa"/>
          </w:tcPr>
          <w:p w:rsidR="0024766C" w:rsidRDefault="0024766C" w:rsidP="0024766C">
            <w:pPr>
              <w:pStyle w:val="ListParagraph"/>
              <w:numPr>
                <w:ilvl w:val="0"/>
                <w:numId w:val="4"/>
              </w:numPr>
            </w:pPr>
            <w:r>
              <w:t>Staff will support PDG eligible pupils with a range of literacy, numeracy and wellbeing interventions.</w:t>
            </w:r>
          </w:p>
          <w:p w:rsidR="0024766C" w:rsidRDefault="0024766C" w:rsidP="0024766C">
            <w:pPr>
              <w:pStyle w:val="ListParagraph"/>
              <w:numPr>
                <w:ilvl w:val="0"/>
                <w:numId w:val="4"/>
              </w:numPr>
            </w:pPr>
            <w:r>
              <w:t>Leaders will closely track PDG pupils progress and skills to inform interventions.</w:t>
            </w:r>
          </w:p>
          <w:p w:rsidR="0024766C" w:rsidRDefault="0024766C" w:rsidP="0024766C">
            <w:pPr>
              <w:pStyle w:val="ListParagraph"/>
              <w:numPr>
                <w:ilvl w:val="0"/>
                <w:numId w:val="4"/>
              </w:numPr>
            </w:pPr>
            <w:r>
              <w:t>PDG eligible pupils will have access to a wide extracurricular programme and will be supported to attend.</w:t>
            </w:r>
          </w:p>
        </w:tc>
      </w:tr>
    </w:tbl>
    <w:p w:rsidR="0024766C" w:rsidRDefault="0024766C" w:rsidP="00DA5148">
      <w:pPr>
        <w:spacing w:after="0"/>
      </w:pPr>
    </w:p>
    <w:p w:rsidR="0024766C" w:rsidRPr="00AD0869" w:rsidRDefault="00AD0869" w:rsidP="0024766C">
      <w:pPr>
        <w:rPr>
          <w:b/>
        </w:rPr>
      </w:pPr>
      <w:r w:rsidRPr="00AD0869">
        <w:rPr>
          <w:b/>
        </w:rPr>
        <w:t>Learning and Teaching</w:t>
      </w:r>
    </w:p>
    <w:p w:rsidR="00AD0869" w:rsidRDefault="00AD0869" w:rsidP="0024766C">
      <w:pPr>
        <w:rPr>
          <w:b/>
        </w:rPr>
      </w:pPr>
      <w:r w:rsidRPr="00AD0869">
        <w:rPr>
          <w:b/>
        </w:rPr>
        <w:t>Budgeted cost: £</w:t>
      </w:r>
      <w:r w:rsidR="00C7664A">
        <w:rPr>
          <w:b/>
        </w:rPr>
        <w:t>249,450</w:t>
      </w:r>
    </w:p>
    <w:tbl>
      <w:tblPr>
        <w:tblStyle w:val="TableGrid"/>
        <w:tblW w:w="0" w:type="auto"/>
        <w:tblLook w:val="04A0" w:firstRow="1" w:lastRow="0" w:firstColumn="1" w:lastColumn="0" w:noHBand="0" w:noVBand="1"/>
      </w:tblPr>
      <w:tblGrid>
        <w:gridCol w:w="4508"/>
        <w:gridCol w:w="4508"/>
      </w:tblGrid>
      <w:tr w:rsidR="00AD0869" w:rsidTr="00AD0869">
        <w:tc>
          <w:tcPr>
            <w:tcW w:w="4508" w:type="dxa"/>
            <w:shd w:val="clear" w:color="auto" w:fill="D0CECE" w:themeFill="background2" w:themeFillShade="E6"/>
          </w:tcPr>
          <w:p w:rsidR="00AD0869" w:rsidRDefault="00AD0869" w:rsidP="0024766C">
            <w:pPr>
              <w:rPr>
                <w:b/>
              </w:rPr>
            </w:pPr>
            <w:r>
              <w:rPr>
                <w:b/>
              </w:rPr>
              <w:t>Activity</w:t>
            </w:r>
          </w:p>
        </w:tc>
        <w:tc>
          <w:tcPr>
            <w:tcW w:w="4508" w:type="dxa"/>
            <w:shd w:val="clear" w:color="auto" w:fill="D0CECE" w:themeFill="background2" w:themeFillShade="E6"/>
          </w:tcPr>
          <w:p w:rsidR="00AD0869" w:rsidRDefault="00AD0869" w:rsidP="0024766C">
            <w:pPr>
              <w:rPr>
                <w:b/>
              </w:rPr>
            </w:pPr>
            <w:r>
              <w:rPr>
                <w:b/>
              </w:rPr>
              <w:t>Evidence that supports this approach</w:t>
            </w:r>
          </w:p>
        </w:tc>
      </w:tr>
      <w:tr w:rsidR="00AD0869" w:rsidTr="00AD0869">
        <w:tc>
          <w:tcPr>
            <w:tcW w:w="4508" w:type="dxa"/>
          </w:tcPr>
          <w:p w:rsidR="00AD0869" w:rsidRPr="00AD0869" w:rsidRDefault="00AD0869" w:rsidP="0024766C">
            <w:r w:rsidRPr="00AD0869">
              <w:t>Specialist literacy and numeracy teaching assistants provide a range of interventions for targeted pupils</w:t>
            </w:r>
            <w:r>
              <w:t>.</w:t>
            </w:r>
          </w:p>
        </w:tc>
        <w:tc>
          <w:tcPr>
            <w:tcW w:w="4508" w:type="dxa"/>
          </w:tcPr>
          <w:p w:rsidR="00AD0869" w:rsidRDefault="00AD0869" w:rsidP="0024766C">
            <w:r>
              <w:t>Established literacy and numeracy programmes are used to support pupils’ skill development in these areas.</w:t>
            </w:r>
          </w:p>
          <w:p w:rsidR="00AD0869" w:rsidRDefault="00AD0869" w:rsidP="0024766C">
            <w:r>
              <w:t>These programmes have demonstrated success over a number of years, both across the school and other schools in Wales. Programmes include:</w:t>
            </w:r>
          </w:p>
          <w:p w:rsidR="00AD0869" w:rsidRDefault="00D87963" w:rsidP="00AD0869">
            <w:pPr>
              <w:pStyle w:val="ListParagraph"/>
              <w:numPr>
                <w:ilvl w:val="0"/>
                <w:numId w:val="5"/>
              </w:numPr>
            </w:pPr>
            <w:r>
              <w:t>Accelerated Reader</w:t>
            </w:r>
          </w:p>
          <w:p w:rsidR="00D87963" w:rsidRDefault="00D87963" w:rsidP="00AD0869">
            <w:pPr>
              <w:pStyle w:val="ListParagraph"/>
              <w:numPr>
                <w:ilvl w:val="0"/>
                <w:numId w:val="5"/>
              </w:numPr>
            </w:pPr>
            <w:r>
              <w:t>Literacy Launchpad</w:t>
            </w:r>
          </w:p>
          <w:p w:rsidR="00D87963" w:rsidRDefault="00D87963" w:rsidP="00AD0869">
            <w:pPr>
              <w:pStyle w:val="ListParagraph"/>
              <w:numPr>
                <w:ilvl w:val="0"/>
                <w:numId w:val="5"/>
              </w:numPr>
            </w:pPr>
            <w:r>
              <w:t>Rapid Read</w:t>
            </w:r>
          </w:p>
          <w:p w:rsidR="00D87963" w:rsidRDefault="00D87963" w:rsidP="00AD0869">
            <w:pPr>
              <w:pStyle w:val="ListParagraph"/>
              <w:numPr>
                <w:ilvl w:val="0"/>
                <w:numId w:val="5"/>
              </w:numPr>
            </w:pPr>
            <w:proofErr w:type="spellStart"/>
            <w:r>
              <w:t>Lexonics</w:t>
            </w:r>
            <w:proofErr w:type="spellEnd"/>
          </w:p>
          <w:p w:rsidR="00D87963" w:rsidRDefault="00D87963" w:rsidP="00AD0869">
            <w:pPr>
              <w:pStyle w:val="ListParagraph"/>
              <w:numPr>
                <w:ilvl w:val="0"/>
                <w:numId w:val="5"/>
              </w:numPr>
            </w:pPr>
            <w:r>
              <w:t>MALT</w:t>
            </w:r>
          </w:p>
          <w:p w:rsidR="00D87963" w:rsidRPr="00AD0869" w:rsidRDefault="00D87963" w:rsidP="00D87963">
            <w:pPr>
              <w:pStyle w:val="ListParagraph"/>
              <w:numPr>
                <w:ilvl w:val="0"/>
                <w:numId w:val="5"/>
              </w:numPr>
            </w:pPr>
            <w:r>
              <w:t>Big Maths</w:t>
            </w:r>
          </w:p>
        </w:tc>
      </w:tr>
    </w:tbl>
    <w:p w:rsidR="00AD0869" w:rsidRDefault="00AD0869" w:rsidP="00D87963">
      <w:pPr>
        <w:rPr>
          <w:b/>
        </w:rPr>
      </w:pPr>
    </w:p>
    <w:p w:rsidR="004D684F" w:rsidRDefault="004D684F">
      <w:pPr>
        <w:rPr>
          <w:b/>
        </w:rPr>
      </w:pPr>
      <w:r>
        <w:rPr>
          <w:b/>
        </w:rPr>
        <w:br w:type="page"/>
      </w:r>
    </w:p>
    <w:p w:rsidR="00D87963" w:rsidRDefault="00D87963" w:rsidP="00D87963">
      <w:pPr>
        <w:rPr>
          <w:b/>
        </w:rPr>
      </w:pPr>
      <w:r>
        <w:rPr>
          <w:b/>
        </w:rPr>
        <w:lastRenderedPageBreak/>
        <w:t>Community Schools</w:t>
      </w:r>
    </w:p>
    <w:p w:rsidR="00D87963" w:rsidRDefault="00D87963" w:rsidP="00D87963">
      <w:pPr>
        <w:rPr>
          <w:b/>
        </w:rPr>
      </w:pPr>
      <w:r>
        <w:rPr>
          <w:b/>
        </w:rPr>
        <w:t>Budgeted cost: £0</w:t>
      </w:r>
    </w:p>
    <w:tbl>
      <w:tblPr>
        <w:tblStyle w:val="TableGrid"/>
        <w:tblW w:w="0" w:type="auto"/>
        <w:tblLook w:val="04A0" w:firstRow="1" w:lastRow="0" w:firstColumn="1" w:lastColumn="0" w:noHBand="0" w:noVBand="1"/>
      </w:tblPr>
      <w:tblGrid>
        <w:gridCol w:w="4508"/>
        <w:gridCol w:w="4508"/>
      </w:tblGrid>
      <w:tr w:rsidR="00D87963" w:rsidTr="00D87963">
        <w:tc>
          <w:tcPr>
            <w:tcW w:w="4508" w:type="dxa"/>
            <w:shd w:val="clear" w:color="auto" w:fill="D0CECE" w:themeFill="background2" w:themeFillShade="E6"/>
          </w:tcPr>
          <w:p w:rsidR="00D87963" w:rsidRDefault="00D87963" w:rsidP="00D87963">
            <w:pPr>
              <w:rPr>
                <w:b/>
              </w:rPr>
            </w:pPr>
            <w:r>
              <w:rPr>
                <w:b/>
              </w:rPr>
              <w:t>Activity</w:t>
            </w:r>
          </w:p>
        </w:tc>
        <w:tc>
          <w:tcPr>
            <w:tcW w:w="4508" w:type="dxa"/>
            <w:shd w:val="clear" w:color="auto" w:fill="D0CECE" w:themeFill="background2" w:themeFillShade="E6"/>
          </w:tcPr>
          <w:p w:rsidR="00D87963" w:rsidRDefault="00D87963" w:rsidP="00D87963">
            <w:pPr>
              <w:rPr>
                <w:b/>
              </w:rPr>
            </w:pPr>
            <w:r>
              <w:rPr>
                <w:b/>
              </w:rPr>
              <w:t>Evidence that supports this approach</w:t>
            </w:r>
          </w:p>
        </w:tc>
      </w:tr>
      <w:tr w:rsidR="00D87963" w:rsidTr="00D54244">
        <w:tc>
          <w:tcPr>
            <w:tcW w:w="9016" w:type="dxa"/>
            <w:gridSpan w:val="2"/>
          </w:tcPr>
          <w:p w:rsidR="00D87963" w:rsidRDefault="00D87963" w:rsidP="00D87963">
            <w:pPr>
              <w:jc w:val="center"/>
              <w:rPr>
                <w:b/>
              </w:rPr>
            </w:pPr>
            <w:r>
              <w:rPr>
                <w:b/>
              </w:rPr>
              <w:t>**Not prioritised through PDG funding – addressed elsewhere**</w:t>
            </w:r>
          </w:p>
        </w:tc>
      </w:tr>
    </w:tbl>
    <w:p w:rsidR="00D87963" w:rsidRDefault="00D87963" w:rsidP="00DA5148">
      <w:pPr>
        <w:spacing w:after="0"/>
        <w:rPr>
          <w:b/>
        </w:rPr>
      </w:pPr>
    </w:p>
    <w:p w:rsidR="00D87963" w:rsidRDefault="00D87963" w:rsidP="00D87963">
      <w:pPr>
        <w:spacing w:after="0"/>
        <w:rPr>
          <w:b/>
        </w:rPr>
      </w:pPr>
      <w:r>
        <w:rPr>
          <w:b/>
        </w:rPr>
        <w:t>Wider strategies</w:t>
      </w:r>
    </w:p>
    <w:p w:rsidR="00D87963" w:rsidRDefault="00D87963" w:rsidP="00D87963">
      <w:pPr>
        <w:spacing w:after="0"/>
        <w:rPr>
          <w:b/>
        </w:rPr>
      </w:pPr>
      <w:r>
        <w:rPr>
          <w:b/>
        </w:rPr>
        <w:t xml:space="preserve">(For </w:t>
      </w:r>
      <w:proofErr w:type="gramStart"/>
      <w:r>
        <w:rPr>
          <w:b/>
        </w:rPr>
        <w:t>example</w:t>
      </w:r>
      <w:proofErr w:type="gramEnd"/>
      <w:r>
        <w:rPr>
          <w:b/>
        </w:rPr>
        <w:t xml:space="preserve"> and where applicable, health and wellbeing, curriculum and qualifications, leadership and raising aspirations)</w:t>
      </w:r>
    </w:p>
    <w:p w:rsidR="00D87963" w:rsidRDefault="00D87963" w:rsidP="00D87963">
      <w:pPr>
        <w:spacing w:after="0"/>
        <w:rPr>
          <w:b/>
        </w:rPr>
      </w:pPr>
    </w:p>
    <w:p w:rsidR="00D87963" w:rsidRDefault="00D87963" w:rsidP="00D87963">
      <w:pPr>
        <w:rPr>
          <w:b/>
        </w:rPr>
      </w:pPr>
      <w:r>
        <w:rPr>
          <w:b/>
        </w:rPr>
        <w:t>Budgeted cost: £</w:t>
      </w:r>
      <w:r w:rsidR="00C7664A">
        <w:rPr>
          <w:b/>
        </w:rPr>
        <w:t>44,302</w:t>
      </w:r>
    </w:p>
    <w:tbl>
      <w:tblPr>
        <w:tblStyle w:val="TableGrid"/>
        <w:tblW w:w="0" w:type="auto"/>
        <w:tblLook w:val="04A0" w:firstRow="1" w:lastRow="0" w:firstColumn="1" w:lastColumn="0" w:noHBand="0" w:noVBand="1"/>
      </w:tblPr>
      <w:tblGrid>
        <w:gridCol w:w="4508"/>
        <w:gridCol w:w="4508"/>
      </w:tblGrid>
      <w:tr w:rsidR="00D87963" w:rsidTr="00891EA3">
        <w:tc>
          <w:tcPr>
            <w:tcW w:w="4508" w:type="dxa"/>
            <w:shd w:val="clear" w:color="auto" w:fill="D0CECE" w:themeFill="background2" w:themeFillShade="E6"/>
          </w:tcPr>
          <w:p w:rsidR="00D87963" w:rsidRDefault="00D87963" w:rsidP="00891EA3">
            <w:pPr>
              <w:rPr>
                <w:b/>
              </w:rPr>
            </w:pPr>
            <w:r>
              <w:rPr>
                <w:b/>
              </w:rPr>
              <w:t>Activity</w:t>
            </w:r>
          </w:p>
        </w:tc>
        <w:tc>
          <w:tcPr>
            <w:tcW w:w="4508" w:type="dxa"/>
            <w:shd w:val="clear" w:color="auto" w:fill="D0CECE" w:themeFill="background2" w:themeFillShade="E6"/>
          </w:tcPr>
          <w:p w:rsidR="00D87963" w:rsidRDefault="00D87963" w:rsidP="00891EA3">
            <w:pPr>
              <w:rPr>
                <w:b/>
              </w:rPr>
            </w:pPr>
            <w:r>
              <w:rPr>
                <w:b/>
              </w:rPr>
              <w:t>Evidence that supports this approach</w:t>
            </w:r>
          </w:p>
        </w:tc>
      </w:tr>
      <w:tr w:rsidR="00D87963" w:rsidTr="00D87963">
        <w:tc>
          <w:tcPr>
            <w:tcW w:w="4508" w:type="dxa"/>
            <w:shd w:val="clear" w:color="auto" w:fill="auto"/>
          </w:tcPr>
          <w:p w:rsidR="00D87963" w:rsidRPr="00D87963" w:rsidRDefault="00D87963" w:rsidP="00891EA3">
            <w:r w:rsidRPr="00D87963">
              <w:t>Specialist pastoral support is provided to support pupils with their mental health</w:t>
            </w:r>
          </w:p>
        </w:tc>
        <w:tc>
          <w:tcPr>
            <w:tcW w:w="4508" w:type="dxa"/>
            <w:shd w:val="clear" w:color="auto" w:fill="auto"/>
          </w:tcPr>
          <w:p w:rsidR="00D87963" w:rsidRPr="00E26AB1" w:rsidRDefault="00D87963" w:rsidP="00891EA3">
            <w:r w:rsidRPr="00E26AB1">
              <w:t xml:space="preserve">A variety of </w:t>
            </w:r>
            <w:r w:rsidR="00E26AB1" w:rsidRPr="00E26AB1">
              <w:t xml:space="preserve">well-established strategies are available to support eligible pupils with their mental health and wellbeing. </w:t>
            </w:r>
          </w:p>
          <w:p w:rsidR="00E26AB1" w:rsidRDefault="00E26AB1" w:rsidP="00891EA3">
            <w:pPr>
              <w:rPr>
                <w:b/>
              </w:rPr>
            </w:pPr>
            <w:r w:rsidRPr="00E26AB1">
              <w:t>These include access to mental health support programmes and liaison with external agencies to provide bespoke support for pupils.</w:t>
            </w:r>
          </w:p>
        </w:tc>
      </w:tr>
    </w:tbl>
    <w:p w:rsidR="00D87963" w:rsidRDefault="00D87963" w:rsidP="00D87963">
      <w:pPr>
        <w:rPr>
          <w:b/>
        </w:rPr>
      </w:pPr>
    </w:p>
    <w:p w:rsidR="00E26AB1" w:rsidRDefault="00E26AB1" w:rsidP="00D87963">
      <w:pPr>
        <w:rPr>
          <w:b/>
        </w:rPr>
      </w:pPr>
      <w:r>
        <w:rPr>
          <w:b/>
        </w:rPr>
        <w:t>TOTAL BUDGETED COST: £</w:t>
      </w:r>
      <w:r w:rsidR="00C7664A">
        <w:rPr>
          <w:b/>
        </w:rPr>
        <w:t>293,752</w:t>
      </w:r>
      <w:r>
        <w:rPr>
          <w:b/>
        </w:rPr>
        <w:t xml:space="preserve"> (additional costs will be met from the school budget).</w:t>
      </w:r>
    </w:p>
    <w:p w:rsidR="00E26AB1" w:rsidRDefault="00E26AB1" w:rsidP="00D87963">
      <w:pPr>
        <w:rPr>
          <w:b/>
        </w:rPr>
      </w:pPr>
      <w:r>
        <w:rPr>
          <w:b/>
        </w:rPr>
        <w:t>PART B: Review of outcomes in the previous academic year</w:t>
      </w:r>
    </w:p>
    <w:p w:rsidR="00E26AB1" w:rsidRDefault="00E26AB1" w:rsidP="00D87963">
      <w:pPr>
        <w:rPr>
          <w:b/>
        </w:rPr>
      </w:pPr>
      <w:r>
        <w:rPr>
          <w:b/>
        </w:rPr>
        <w:t>PDG Outcomes</w:t>
      </w:r>
    </w:p>
    <w:p w:rsidR="00E26AB1" w:rsidRDefault="00E26AB1" w:rsidP="00E26AB1">
      <w:pPr>
        <w:jc w:val="both"/>
      </w:pPr>
      <w:r w:rsidRPr="00E26AB1">
        <w:t xml:space="preserve">Procedures for identifying pupils who require literacy and numeracy interventions are well established </w:t>
      </w:r>
      <w:r>
        <w:t xml:space="preserve">across all phases of the school. Many </w:t>
      </w:r>
      <w:proofErr w:type="spellStart"/>
      <w:r>
        <w:t>eFSM</w:t>
      </w:r>
      <w:proofErr w:type="spellEnd"/>
      <w:r>
        <w:t xml:space="preserve"> pupils in receipt of interventions make good progress from a low starting point.</w:t>
      </w:r>
      <w:r w:rsidR="008D1C94">
        <w:t xml:space="preserve"> Teaching Assistants and Learning Coaches use well-embedded strategies to develop pupils’ skills.</w:t>
      </w:r>
    </w:p>
    <w:p w:rsidR="008D1C94" w:rsidRDefault="008D1C94" w:rsidP="00E26AB1">
      <w:pPr>
        <w:jc w:val="both"/>
      </w:pPr>
      <w:r>
        <w:t xml:space="preserve">Pastoral support encompasses all behaviours which affect learning, providing direct intervention and referring pupils for external support. Support provided has resulted in the removal of external barriers to learning and provided pupils with security and continuity of pastoral care. Support provided assists </w:t>
      </w:r>
      <w:r w:rsidR="003C7BD7">
        <w:t>v</w:t>
      </w:r>
      <w:r>
        <w:t>ulnerable/</w:t>
      </w:r>
      <w:proofErr w:type="spellStart"/>
      <w:r>
        <w:t>eFSM</w:t>
      </w:r>
      <w:proofErr w:type="spellEnd"/>
      <w:r>
        <w:t xml:space="preserve"> pupils of all abilities to achieve in line with </w:t>
      </w:r>
      <w:proofErr w:type="spellStart"/>
      <w:r>
        <w:t>nFSM</w:t>
      </w:r>
      <w:proofErr w:type="spellEnd"/>
      <w:r>
        <w:t xml:space="preserve"> pupils</w:t>
      </w:r>
    </w:p>
    <w:p w:rsidR="008D1C94" w:rsidRDefault="008D1C94" w:rsidP="00E26AB1">
      <w:pPr>
        <w:jc w:val="both"/>
        <w:rPr>
          <w:b/>
        </w:rPr>
      </w:pPr>
      <w:r w:rsidRPr="003C7BD7">
        <w:rPr>
          <w:b/>
        </w:rPr>
        <w:t xml:space="preserve"> </w:t>
      </w:r>
      <w:r w:rsidR="003C7BD7" w:rsidRPr="003C7BD7">
        <w:rPr>
          <w:b/>
        </w:rPr>
        <w:t>Externally provided programmes</w:t>
      </w:r>
    </w:p>
    <w:tbl>
      <w:tblPr>
        <w:tblStyle w:val="TableGrid"/>
        <w:tblW w:w="0" w:type="auto"/>
        <w:tblLook w:val="04A0" w:firstRow="1" w:lastRow="0" w:firstColumn="1" w:lastColumn="0" w:noHBand="0" w:noVBand="1"/>
      </w:tblPr>
      <w:tblGrid>
        <w:gridCol w:w="4508"/>
        <w:gridCol w:w="4508"/>
      </w:tblGrid>
      <w:tr w:rsidR="003C7BD7" w:rsidTr="003C7BD7">
        <w:tc>
          <w:tcPr>
            <w:tcW w:w="4508" w:type="dxa"/>
            <w:shd w:val="clear" w:color="auto" w:fill="D9D9D9" w:themeFill="background1" w:themeFillShade="D9"/>
          </w:tcPr>
          <w:p w:rsidR="003C7BD7" w:rsidRDefault="003C7BD7" w:rsidP="00E26AB1">
            <w:pPr>
              <w:jc w:val="both"/>
              <w:rPr>
                <w:b/>
              </w:rPr>
            </w:pPr>
            <w:r>
              <w:rPr>
                <w:b/>
              </w:rPr>
              <w:t>Programme</w:t>
            </w:r>
          </w:p>
        </w:tc>
        <w:tc>
          <w:tcPr>
            <w:tcW w:w="4508" w:type="dxa"/>
            <w:shd w:val="clear" w:color="auto" w:fill="D9D9D9" w:themeFill="background1" w:themeFillShade="D9"/>
          </w:tcPr>
          <w:p w:rsidR="003C7BD7" w:rsidRDefault="003C7BD7" w:rsidP="00E26AB1">
            <w:pPr>
              <w:jc w:val="both"/>
              <w:rPr>
                <w:b/>
              </w:rPr>
            </w:pPr>
            <w:r>
              <w:rPr>
                <w:b/>
              </w:rPr>
              <w:t>Provider</w:t>
            </w:r>
          </w:p>
        </w:tc>
      </w:tr>
      <w:tr w:rsidR="003C7BD7" w:rsidTr="0004396F">
        <w:tc>
          <w:tcPr>
            <w:tcW w:w="9016" w:type="dxa"/>
            <w:gridSpan w:val="2"/>
          </w:tcPr>
          <w:p w:rsidR="003C7BD7" w:rsidRDefault="003C7BD7" w:rsidP="003C7BD7">
            <w:pPr>
              <w:jc w:val="center"/>
              <w:rPr>
                <w:b/>
              </w:rPr>
            </w:pPr>
            <w:r>
              <w:rPr>
                <w:b/>
              </w:rPr>
              <w:t>**PDG funding is not used to fund externally provided programmes**</w:t>
            </w:r>
          </w:p>
        </w:tc>
      </w:tr>
    </w:tbl>
    <w:p w:rsidR="003C7BD7" w:rsidRDefault="003C7BD7" w:rsidP="00E26AB1">
      <w:pPr>
        <w:jc w:val="both"/>
        <w:rPr>
          <w:b/>
        </w:rPr>
      </w:pPr>
    </w:p>
    <w:p w:rsidR="003C7BD7" w:rsidRDefault="003C7BD7" w:rsidP="00E26AB1">
      <w:pPr>
        <w:jc w:val="both"/>
        <w:rPr>
          <w:b/>
        </w:rPr>
      </w:pPr>
      <w:r>
        <w:rPr>
          <w:b/>
        </w:rPr>
        <w:t>Further information</w:t>
      </w:r>
    </w:p>
    <w:tbl>
      <w:tblPr>
        <w:tblStyle w:val="TableGrid"/>
        <w:tblW w:w="0" w:type="auto"/>
        <w:tblLook w:val="04A0" w:firstRow="1" w:lastRow="0" w:firstColumn="1" w:lastColumn="0" w:noHBand="0" w:noVBand="1"/>
      </w:tblPr>
      <w:tblGrid>
        <w:gridCol w:w="9016"/>
      </w:tblGrid>
      <w:tr w:rsidR="003C7BD7" w:rsidTr="003C7BD7">
        <w:tc>
          <w:tcPr>
            <w:tcW w:w="9016" w:type="dxa"/>
          </w:tcPr>
          <w:p w:rsidR="003C7BD7" w:rsidRDefault="003C7BD7" w:rsidP="00E26AB1">
            <w:pPr>
              <w:jc w:val="both"/>
              <w:rPr>
                <w:b/>
              </w:rPr>
            </w:pPr>
          </w:p>
          <w:p w:rsidR="003C7BD7" w:rsidRDefault="003C7BD7" w:rsidP="00E26AB1">
            <w:pPr>
              <w:jc w:val="both"/>
              <w:rPr>
                <w:b/>
              </w:rPr>
            </w:pPr>
            <w:r>
              <w:rPr>
                <w:b/>
              </w:rPr>
              <w:t>N/A</w:t>
            </w:r>
          </w:p>
          <w:p w:rsidR="003C7BD7" w:rsidRDefault="003C7BD7" w:rsidP="00E26AB1">
            <w:pPr>
              <w:jc w:val="both"/>
              <w:rPr>
                <w:b/>
              </w:rPr>
            </w:pPr>
          </w:p>
        </w:tc>
      </w:tr>
    </w:tbl>
    <w:p w:rsidR="003C7BD7" w:rsidRPr="003C7BD7" w:rsidRDefault="003C7BD7" w:rsidP="00E26AB1">
      <w:pPr>
        <w:jc w:val="both"/>
        <w:rPr>
          <w:b/>
        </w:rPr>
      </w:pPr>
    </w:p>
    <w:sectPr w:rsidR="003C7BD7" w:rsidRPr="003C7BD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096" w:rsidRDefault="00E72096" w:rsidP="00323A16">
      <w:pPr>
        <w:spacing w:after="0" w:line="240" w:lineRule="auto"/>
      </w:pPr>
      <w:r>
        <w:separator/>
      </w:r>
    </w:p>
  </w:endnote>
  <w:endnote w:type="continuationSeparator" w:id="0">
    <w:p w:rsidR="00E72096" w:rsidRDefault="00E72096" w:rsidP="0032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73F" w:rsidRDefault="00FF573F" w:rsidP="00FF573F">
    <w:pPr>
      <w:pStyle w:val="Footer"/>
      <w:pBdr>
        <w:top w:val="single" w:sz="4" w:space="1" w:color="C0000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096" w:rsidRDefault="00E72096" w:rsidP="00323A16">
      <w:pPr>
        <w:spacing w:after="0" w:line="240" w:lineRule="auto"/>
      </w:pPr>
      <w:r>
        <w:separator/>
      </w:r>
    </w:p>
  </w:footnote>
  <w:footnote w:type="continuationSeparator" w:id="0">
    <w:p w:rsidR="00E72096" w:rsidRDefault="00E72096" w:rsidP="00323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A16" w:rsidRDefault="00323A16">
    <w:pPr>
      <w:pStyle w:val="Header"/>
    </w:pPr>
    <w:r>
      <w:rPr>
        <w:noProof/>
      </w:rPr>
      <w:drawing>
        <wp:anchor distT="0" distB="0" distL="114300" distR="114300" simplePos="0" relativeHeight="251659264" behindDoc="0" locked="0" layoutInCell="1" allowOverlap="1" wp14:anchorId="4925CDFD" wp14:editId="4A5C328F">
          <wp:simplePos x="0" y="0"/>
          <wp:positionH relativeFrom="column">
            <wp:posOffset>5181600</wp:posOffset>
          </wp:positionH>
          <wp:positionV relativeFrom="paragraph">
            <wp:posOffset>-335915</wp:posOffset>
          </wp:positionV>
          <wp:extent cx="479116" cy="569595"/>
          <wp:effectExtent l="0" t="0" r="0" b="1905"/>
          <wp:wrapNone/>
          <wp:docPr id="2" name="Picture 2" descr="F:\Porth\Admin\Por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Porth\Admin\Porth Logo.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9116" cy="5695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3A16" w:rsidRPr="00323A16" w:rsidRDefault="00323A16" w:rsidP="00323A16">
    <w:pPr>
      <w:pStyle w:val="Header"/>
      <w:pBdr>
        <w:bottom w:val="single" w:sz="4" w:space="1" w:color="C00000"/>
      </w:pBdr>
      <w:rPr>
        <w:sz w:val="20"/>
      </w:rPr>
    </w:pPr>
    <w:r w:rsidRPr="00323A16">
      <w:rPr>
        <w:sz w:val="20"/>
      </w:rPr>
      <w:t xml:space="preserve">PDG Strategy Statement </w:t>
    </w:r>
    <w:r w:rsidR="00004391">
      <w:rPr>
        <w:sz w:val="20"/>
      </w:rPr>
      <w:t>202</w:t>
    </w:r>
    <w:r w:rsidR="00D944ED">
      <w:rPr>
        <w:sz w:val="20"/>
      </w:rPr>
      <w:t>5</w:t>
    </w:r>
    <w:r w:rsidR="00004391">
      <w:rPr>
        <w:sz w:val="20"/>
      </w:rPr>
      <w:t>/2</w:t>
    </w:r>
    <w:r w:rsidR="00D944ED">
      <w:rPr>
        <w:sz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11D58"/>
    <w:multiLevelType w:val="hybridMultilevel"/>
    <w:tmpl w:val="F854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E0ECD"/>
    <w:multiLevelType w:val="hybridMultilevel"/>
    <w:tmpl w:val="DC0A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A15A24"/>
    <w:multiLevelType w:val="hybridMultilevel"/>
    <w:tmpl w:val="9D78A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C006F5"/>
    <w:multiLevelType w:val="hybridMultilevel"/>
    <w:tmpl w:val="1EA2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5F3BEA"/>
    <w:multiLevelType w:val="hybridMultilevel"/>
    <w:tmpl w:val="85DA7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A16"/>
    <w:rsid w:val="00004391"/>
    <w:rsid w:val="00077E00"/>
    <w:rsid w:val="0015104C"/>
    <w:rsid w:val="0024766C"/>
    <w:rsid w:val="002F4B57"/>
    <w:rsid w:val="00323A16"/>
    <w:rsid w:val="003C7BD7"/>
    <w:rsid w:val="004A10BA"/>
    <w:rsid w:val="004B0F1E"/>
    <w:rsid w:val="004C6CF5"/>
    <w:rsid w:val="004D684F"/>
    <w:rsid w:val="00550769"/>
    <w:rsid w:val="0060542C"/>
    <w:rsid w:val="00625642"/>
    <w:rsid w:val="0079626F"/>
    <w:rsid w:val="00872B42"/>
    <w:rsid w:val="008D1C94"/>
    <w:rsid w:val="009360BB"/>
    <w:rsid w:val="00995435"/>
    <w:rsid w:val="00AD0869"/>
    <w:rsid w:val="00BE4C42"/>
    <w:rsid w:val="00C7664A"/>
    <w:rsid w:val="00CA3516"/>
    <w:rsid w:val="00D87963"/>
    <w:rsid w:val="00D92A16"/>
    <w:rsid w:val="00D944ED"/>
    <w:rsid w:val="00DA5148"/>
    <w:rsid w:val="00E26AB1"/>
    <w:rsid w:val="00E72096"/>
    <w:rsid w:val="00F2380D"/>
    <w:rsid w:val="00F618C6"/>
    <w:rsid w:val="00FF5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FB54A-D042-4E2B-AADF-2D13DA40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3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A16"/>
  </w:style>
  <w:style w:type="paragraph" w:styleId="Footer">
    <w:name w:val="footer"/>
    <w:basedOn w:val="Normal"/>
    <w:link w:val="FooterChar"/>
    <w:uiPriority w:val="99"/>
    <w:unhideWhenUsed/>
    <w:rsid w:val="00323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A16"/>
  </w:style>
  <w:style w:type="paragraph" w:styleId="ListParagraph">
    <w:name w:val="List Paragraph"/>
    <w:basedOn w:val="Normal"/>
    <w:uiPriority w:val="34"/>
    <w:qFormat/>
    <w:rsid w:val="00625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2f28743-cbf4-4ba1-8b19-4505c193be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14B64C034FFD448C8A8B1277337996" ma:contentTypeVersion="18" ma:contentTypeDescription="Create a new document." ma:contentTypeScope="" ma:versionID="c2a0d619a79a5c9a3233a52a62221a70">
  <xsd:schema xmlns:xsd="http://www.w3.org/2001/XMLSchema" xmlns:xs="http://www.w3.org/2001/XMLSchema" xmlns:p="http://schemas.microsoft.com/office/2006/metadata/properties" xmlns:ns3="c2f28743-cbf4-4ba1-8b19-4505c193be07" xmlns:ns4="c80b3b40-fc26-4414-8840-718449ce316c" targetNamespace="http://schemas.microsoft.com/office/2006/metadata/properties" ma:root="true" ma:fieldsID="7739ec3b2d79ac828c9d200abc707a1c" ns3:_="" ns4:_="">
    <xsd:import namespace="c2f28743-cbf4-4ba1-8b19-4505c193be07"/>
    <xsd:import namespace="c80b3b40-fc26-4414-8840-718449ce31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28743-cbf4-4ba1-8b19-4505c193b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b3b40-fc26-4414-8840-718449ce31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F49CFC-0ECE-4FE3-9312-BE6ADE44DEF4}">
  <ds:schemaRefs>
    <ds:schemaRef ds:uri="http://schemas.microsoft.com/office/2006/documentManagement/types"/>
    <ds:schemaRef ds:uri="http://purl.org/dc/elements/1.1/"/>
    <ds:schemaRef ds:uri="http://schemas.microsoft.com/office/2006/metadata/properties"/>
    <ds:schemaRef ds:uri="c2f28743-cbf4-4ba1-8b19-4505c193be07"/>
    <ds:schemaRef ds:uri="http://purl.org/dc/terms/"/>
    <ds:schemaRef ds:uri="http://schemas.openxmlformats.org/package/2006/metadata/core-properties"/>
    <ds:schemaRef ds:uri="http://purl.org/dc/dcmitype/"/>
    <ds:schemaRef ds:uri="http://schemas.microsoft.com/office/infopath/2007/PartnerControls"/>
    <ds:schemaRef ds:uri="c80b3b40-fc26-4414-8840-718449ce316c"/>
    <ds:schemaRef ds:uri="http://www.w3.org/XML/1998/namespace"/>
  </ds:schemaRefs>
</ds:datastoreItem>
</file>

<file path=customXml/itemProps2.xml><?xml version="1.0" encoding="utf-8"?>
<ds:datastoreItem xmlns:ds="http://schemas.openxmlformats.org/officeDocument/2006/customXml" ds:itemID="{E8AD140E-C6CF-406A-B427-4551FF91F6F9}">
  <ds:schemaRefs>
    <ds:schemaRef ds:uri="http://schemas.microsoft.com/sharepoint/v3/contenttype/forms"/>
  </ds:schemaRefs>
</ds:datastoreItem>
</file>

<file path=customXml/itemProps3.xml><?xml version="1.0" encoding="utf-8"?>
<ds:datastoreItem xmlns:ds="http://schemas.openxmlformats.org/officeDocument/2006/customXml" ds:itemID="{DF746F20-5F96-44DE-95F3-843CF8BFA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28743-cbf4-4ba1-8b19-4505c193be07"/>
    <ds:schemaRef ds:uri="c80b3b40-fc26-4414-8840-718449ce3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Rhondda Cynon Taff CBC</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Wilkins</dc:creator>
  <cp:keywords/>
  <dc:description/>
  <cp:lastModifiedBy>Hayley Jones (Porth Community School)</cp:lastModifiedBy>
  <cp:revision>2</cp:revision>
  <cp:lastPrinted>2025-09-09T08:53:00Z</cp:lastPrinted>
  <dcterms:created xsi:type="dcterms:W3CDTF">2026-01-29T09:29:00Z</dcterms:created>
  <dcterms:modified xsi:type="dcterms:W3CDTF">2026-01-29T09:29:00Z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0x0101009614B64C034FFD448C8A8B1277337996</vt:lpwstr>
  </property>
</Properties>
</file>